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9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9"/>
        2022
        <text:bookmark-end text:name="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13-02-2023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Gelijke kansen bij uitgifte van grond-Didam arrest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lijke-kansen-bij-uitgifte-van-grond-Didam-arrest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Verkeersdrempels (PvdA)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keersdrempels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- Zorgen berichtgeving aandeel tweewoningbezitters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Zorgen-berichtgeving-aandeel-tweewoningbezitters-Tubber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Ontwikkelingen rondom potentiële asielzoekersopvang Albergen (Keerpunt22, 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68,37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potentiele-asielzoekersopvang-Albergen-Keerpunt22-CDA-GB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- 
              <text:s/>
              Gevolgen werkzaamheden Vasse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31-08-2022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werkzaamheden-Vasse-Keerpunt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Verhoging starterslening (CDA)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hoging-starterslening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Gevolgen uitspraak Raad van State inzake bouwvrijstelling Stikstofwet (CDA,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uitspraak-Raad-van-State-inzake-bouwvrijstelling-Stikstofwet-CDA-GB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Schriftelijke vragen - Gevolgen stikstof en natuur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stikstof-en-natuur-voor-paasvuren-en-carnavalsopto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56" meta:character-count="1098" meta:non-whitespace-character-count="10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