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8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8"/>
        2022
        <text:bookmark-end text:name="2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23-12-2022 12:22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Getekend Amendement (Aangenomen) - Vaststellen beleid buitengebied met kwaliteit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114,60 KB</text:p>
          </table:table-cell>
          <table:table-cell table:style-name="Table4.A2" office:value-type="string">
            <text:p text:style-name="P33">
              <text:a xlink:type="simple" xlink:href="https://bestuur.tubbergen.nl//Documenten/Getekend-Amendement-Aangenomen-Vaststellen-beleid-buitengebied-met-kwal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Getekend Amendement (Aangenomen) - Ontwerp provinciaal Inpassingsplan Springendal en Dal van de Mosbeek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121,46 KB</text:p>
          </table:table-cell>
          <table:table-cell table:style-name="Table4.A2" office:value-type="string">
            <text:p text:style-name="P33">
              <text:a xlink:type="simple" xlink:href="https://bestuur.tubbergen.nl//Documenten/Getekend-Amendement-Aangenomen-Ontwerp-provinciaal-Inpassingsplan-Springendal-en-Dal-van-de-Mosbe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Getekend Amendement (Verworpen) - Compensatie lokale lasten 2023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110,25 KB</text:p>
          </table:table-cell>
          <table:table-cell table:style-name="Table4.A2" office:value-type="string">
            <text:p text:style-name="P33">
              <text:a xlink:type="simple" xlink:href="https://bestuur.tubbergen.nl//Documenten/Getekend-Amendement-Verworpen-Compensatie-lokale-last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Getekend Amendement (Aangenomen) - Kaveluitgifteprijzen bedrijventerrein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121,09 KB</text:p>
          </table:table-cell>
          <table:table-cell table:style-name="Table4.A2" office:value-type="string">
            <text:p text:style-name="P33">
              <text:a xlink:type="simple" xlink:href="https://bestuur.tubbergen.nl//Documenten/Getekend-Amendement-Aangenomen-Kaveluitgifteprijzen-bedrijventerr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94" meta:character-count="660" meta:non-whitespace-character-count="6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